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C06D" w14:textId="052C7292" w:rsidR="00F3180A" w:rsidRPr="00FA016E" w:rsidRDefault="005659E5" w:rsidP="00F3180A">
      <w:pPr>
        <w:spacing w:after="0"/>
        <w:jc w:val="center"/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 w:rsidRPr="00FA016E"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 xml:space="preserve">Summer EBT 2026 </w:t>
      </w:r>
      <w:proofErr w:type="spellStart"/>
      <w:r w:rsidRPr="00FA016E"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iPOM</w:t>
      </w:r>
      <w:proofErr w:type="spellEnd"/>
      <w:r w:rsidRPr="00FA016E">
        <w:rPr>
          <w:rStyle w:val="Heading1Char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FA016E"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Template</w:t>
      </w:r>
    </w:p>
    <w:p w14:paraId="43248CDE" w14:textId="0EDD17C9" w:rsidR="00B1393C" w:rsidRPr="00FA016E" w:rsidRDefault="00B1393C" w:rsidP="00F3180A">
      <w:pPr>
        <w:spacing w:after="0"/>
        <w:jc w:val="center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FA016E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States</w:t>
      </w:r>
      <w:r w:rsidR="0919FA7A" w:rsidRPr="00FA016E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r w:rsidRPr="00FA016E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ITOs</w:t>
      </w:r>
      <w:r w:rsidR="03D3B387" w:rsidRPr="00FA016E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, and Puerto Rico</w:t>
      </w:r>
    </w:p>
    <w:p w14:paraId="7A7E02BB" w14:textId="02666140" w:rsidR="00F3180A" w:rsidRPr="00FA016E" w:rsidRDefault="4A990C69" w:rsidP="0C21121C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8"/>
          <w:szCs w:val="28"/>
        </w:rPr>
      </w:pPr>
      <w:r w:rsidRPr="0C21121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Due no later than Aug</w:t>
      </w:r>
      <w:r w:rsidR="7D8883F6" w:rsidRPr="0C21121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.</w:t>
      </w:r>
      <w:r w:rsidRPr="0C21121C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 15, 2025</w:t>
      </w:r>
      <w:r w:rsidRPr="0C21121C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6B21FE3" w14:textId="77777777" w:rsidR="00F3180A" w:rsidRPr="006E66FD" w:rsidRDefault="00F3180A" w:rsidP="00C73C70">
      <w:pPr>
        <w:jc w:val="center"/>
      </w:pPr>
    </w:p>
    <w:p w14:paraId="712F89DE" w14:textId="15BFCEB8" w:rsidR="005659E5" w:rsidRPr="00E46912" w:rsidRDefault="005659E5" w:rsidP="005659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46912">
        <w:rPr>
          <w:rStyle w:val="normaltextrun"/>
          <w:rFonts w:ascii="Calibri" w:eastAsiaTheme="majorEastAsia" w:hAnsi="Calibri" w:cs="Calibri"/>
          <w:b/>
          <w:bCs/>
        </w:rPr>
        <w:t>Directions </w:t>
      </w:r>
      <w:r w:rsidRPr="00E46912">
        <w:rPr>
          <w:rStyle w:val="eop"/>
          <w:rFonts w:ascii="Calibri" w:eastAsiaTheme="majorEastAsia" w:hAnsi="Calibri" w:cs="Calibri"/>
        </w:rPr>
        <w:t> </w:t>
      </w:r>
    </w:p>
    <w:p w14:paraId="02DCEC5D" w14:textId="17279749" w:rsidR="005659E5" w:rsidRDefault="47667D67" w:rsidP="0C21121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>This document is the template for the 2026 Interim P</w:t>
      </w:r>
      <w:r w:rsidR="394B2C6C" w:rsidRPr="0C21121C">
        <w:rPr>
          <w:rStyle w:val="normaltextrun"/>
          <w:rFonts w:ascii="Calibri" w:eastAsiaTheme="majorEastAsia" w:hAnsi="Calibri" w:cs="Calibri"/>
          <w:sz w:val="22"/>
          <w:szCs w:val="22"/>
        </w:rPr>
        <w:t>lan for Operations and Management</w:t>
      </w: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proofErr w:type="spellStart"/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>iPOM</w:t>
      </w:r>
      <w:proofErr w:type="spellEnd"/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) for U.S. </w:t>
      </w:r>
      <w:r w:rsidR="1C336D76" w:rsidRPr="0C21121C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>tates, ITOs</w:t>
      </w:r>
      <w:r w:rsidR="5B9B08A3" w:rsidRPr="0C21121C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</w:t>
      </w:r>
      <w:r w:rsidR="11C62A2E" w:rsidRPr="0C21121C">
        <w:rPr>
          <w:rStyle w:val="normaltextrun"/>
          <w:rFonts w:ascii="Calibri" w:eastAsiaTheme="majorEastAsia" w:hAnsi="Calibri" w:cs="Calibri"/>
          <w:sz w:val="22"/>
          <w:szCs w:val="22"/>
        </w:rPr>
        <w:t>Puerto Rico</w:t>
      </w: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>. By Aug</w:t>
      </w:r>
      <w:r w:rsidR="208C5CD1" w:rsidRPr="0C21121C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15, 2025, Summer </w:t>
      </w:r>
      <w:r w:rsidR="00BF72F6">
        <w:rPr>
          <w:rStyle w:val="normaltextrun"/>
          <w:rFonts w:ascii="Calibri" w:eastAsiaTheme="majorEastAsia" w:hAnsi="Calibri" w:cs="Calibri"/>
          <w:sz w:val="22"/>
          <w:szCs w:val="22"/>
        </w:rPr>
        <w:t>EBT</w:t>
      </w: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agencies must submit the information requested in the </w:t>
      </w:r>
      <w:proofErr w:type="spellStart"/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>iPOM</w:t>
      </w:r>
      <w:proofErr w:type="spellEnd"/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2884B308" w:rsidRPr="0C21121C">
        <w:rPr>
          <w:rStyle w:val="normaltextrun"/>
          <w:rFonts w:ascii="Calibri" w:eastAsiaTheme="majorEastAsia" w:hAnsi="Calibri" w:cs="Calibri"/>
          <w:sz w:val="22"/>
          <w:szCs w:val="22"/>
        </w:rPr>
        <w:t>to their</w:t>
      </w:r>
      <w:r w:rsidR="006F3EB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USDA</w:t>
      </w:r>
      <w:r w:rsidR="2884B308"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</w:t>
      </w:r>
      <w:r w:rsidR="006F3EB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ood and </w:t>
      </w:r>
      <w:r w:rsidR="2884B308" w:rsidRPr="0C21121C">
        <w:rPr>
          <w:rStyle w:val="normaltextrun"/>
          <w:rFonts w:ascii="Calibri" w:eastAsiaTheme="majorEastAsia" w:hAnsi="Calibri" w:cs="Calibri"/>
          <w:sz w:val="22"/>
          <w:szCs w:val="22"/>
        </w:rPr>
        <w:t>N</w:t>
      </w:r>
      <w:r w:rsidR="006F3EB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utrition </w:t>
      </w:r>
      <w:r w:rsidR="2884B308" w:rsidRPr="0C21121C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06F3EB3">
        <w:rPr>
          <w:rStyle w:val="normaltextrun"/>
          <w:rFonts w:ascii="Calibri" w:eastAsiaTheme="majorEastAsia" w:hAnsi="Calibri" w:cs="Calibri"/>
          <w:sz w:val="22"/>
          <w:szCs w:val="22"/>
        </w:rPr>
        <w:t>ervice</w:t>
      </w:r>
      <w:r w:rsidR="2884B308"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regional office </w:t>
      </w: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>[</w:t>
      </w:r>
      <w:hyperlink r:id="rId10" w:anchor="p-292.8(a">
        <w:r w:rsidRPr="0C21121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7 CFR 292.8(a)</w:t>
        </w:r>
      </w:hyperlink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]. </w:t>
      </w:r>
      <w:r w:rsidRPr="0C21121C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 </w:t>
      </w:r>
      <w:r w:rsidRPr="0C21121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DC803D" w14:textId="77777777" w:rsidR="005659E5" w:rsidRDefault="005659E5" w:rsidP="005659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48EFC22E" w14:textId="5430B3E8" w:rsidR="005659E5" w:rsidRDefault="00146F85" w:rsidP="6C17156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FNS will review each </w:t>
      </w:r>
      <w:proofErr w:type="spellStart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>iPOM</w:t>
      </w:r>
      <w:proofErr w:type="spellEnd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 submission and approve or request additional information from the coordinating </w:t>
      </w:r>
      <w:proofErr w:type="gramStart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>Summer</w:t>
      </w:r>
      <w:proofErr w:type="gramEnd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 EBT agency</w:t>
      </w:r>
      <w:r w:rsidR="00680A58"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. </w:t>
      </w:r>
      <w:r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The coordinating </w:t>
      </w:r>
      <w:proofErr w:type="gramStart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>Summer</w:t>
      </w:r>
      <w:proofErr w:type="gramEnd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 EBT agency </w:t>
      </w:r>
      <w:r w:rsidR="01BFBFB9" w:rsidRPr="6C171562">
        <w:rPr>
          <w:rStyle w:val="eop"/>
          <w:rFonts w:ascii="Calibri" w:eastAsiaTheme="majorEastAsia" w:hAnsi="Calibri" w:cs="Calibri"/>
          <w:sz w:val="22"/>
          <w:szCs w:val="22"/>
        </w:rPr>
        <w:t>may</w:t>
      </w:r>
      <w:r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 submit a revised </w:t>
      </w:r>
      <w:proofErr w:type="spellStart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>iPOM</w:t>
      </w:r>
      <w:proofErr w:type="spellEnd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 along with their Plan of Operation and Management (POM) submission. Additionally,</w:t>
      </w:r>
      <w:r w:rsidR="00582AEC"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 at any time after receiving an</w:t>
      </w:r>
      <w:r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 approval, the coordinating </w:t>
      </w:r>
      <w:proofErr w:type="gramStart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>Summer</w:t>
      </w:r>
      <w:proofErr w:type="gramEnd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 EBT agency may request changes to the final </w:t>
      </w:r>
      <w:proofErr w:type="spellStart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>iPOM</w:t>
      </w:r>
      <w:proofErr w:type="spellEnd"/>
      <w:r w:rsidRPr="6C171562">
        <w:rPr>
          <w:rStyle w:val="eop"/>
          <w:rFonts w:ascii="Calibri" w:eastAsiaTheme="majorEastAsia" w:hAnsi="Calibri" w:cs="Calibri"/>
          <w:sz w:val="22"/>
          <w:szCs w:val="22"/>
        </w:rPr>
        <w:t xml:space="preserve"> or POM. Any amendments must be submitted to the FNS regional office for approval.</w:t>
      </w:r>
    </w:p>
    <w:p w14:paraId="3A16F5B0" w14:textId="77777777" w:rsidR="00146F85" w:rsidRDefault="00146F85" w:rsidP="005659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0F92B37" w14:textId="00463084" w:rsidR="005659E5" w:rsidRPr="00B42EB7" w:rsidRDefault="005659E5" w:rsidP="005659E5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B94744">
        <w:rPr>
          <w:rStyle w:val="normaltextrun"/>
          <w:rFonts w:ascii="Calibri" w:eastAsiaTheme="majorEastAsia" w:hAnsi="Calibri" w:cs="Calibri"/>
          <w:b/>
          <w:bCs/>
        </w:rPr>
        <w:t xml:space="preserve">Required Attachments: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Check the items that are attached to your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iPOM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submission.</w:t>
      </w:r>
    </w:p>
    <w:p w14:paraId="61FBA1EA" w14:textId="678E9C5C" w:rsidR="005659E5" w:rsidRDefault="005659E5" w:rsidP="00B42EB7">
      <w:pPr>
        <w:pStyle w:val="paragraph"/>
        <w:spacing w:before="24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b/>
          <w:bCs/>
          <w:sz w:val="22"/>
          <w:szCs w:val="22"/>
        </w:rPr>
        <w:t>☐</w:t>
      </w:r>
      <w:r>
        <w:rPr>
          <w:rStyle w:val="contentcontrolboundarysink"/>
          <w:rFonts w:ascii="MS Gothic" w:eastAsia="MS Gothic" w:hAnsi="MS Gothic" w:cs="Segoe UI" w:hint="eastAsia"/>
          <w:b/>
          <w:bCs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00"/>
        </w:rPr>
        <w:t xml:space="preserve">[Required for the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00"/>
        </w:rPr>
        <w:t>iPOM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00"/>
        </w:rPr>
        <w:t>]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FNS-366A expenditure plan(s) 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(</w:t>
      </w:r>
      <w:r w:rsidR="00F3180A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number 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2)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7F6C0C" w14:textId="32BA9135" w:rsidR="005659E5" w:rsidRDefault="005659E5" w:rsidP="00B42EB7">
      <w:pPr>
        <w:pStyle w:val="paragraph"/>
        <w:spacing w:before="24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S Gothic" w:eastAsia="MS Gothic" w:hAnsi="MS Gothic" w:cs="Segoe UI" w:hint="eastAsia"/>
          <w:b/>
          <w:bCs/>
          <w:color w:val="000000"/>
          <w:sz w:val="22"/>
          <w:szCs w:val="22"/>
        </w:rPr>
        <w:t>☐</w:t>
      </w:r>
      <w:r>
        <w:rPr>
          <w:rStyle w:val="contentcontrolboundarysink"/>
          <w:rFonts w:ascii="Calibri" w:hAnsi="Calibri" w:cs="Calibri"/>
          <w:b/>
          <w:bCs/>
          <w:color w:val="000000"/>
          <w:sz w:val="22"/>
          <w:szCs w:val="22"/>
        </w:rPr>
        <w:t>​</w:t>
      </w: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00"/>
        </w:rPr>
        <w:t xml:space="preserve">[Required for the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00"/>
        </w:rPr>
        <w:t>iPOM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  <w:shd w:val="clear" w:color="auto" w:fill="FFFF00"/>
        </w:rPr>
        <w:t>]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 budget narrative 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(</w:t>
      </w:r>
      <w:r w:rsidR="00F3180A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numbe</w:t>
      </w:r>
      <w:r w:rsidR="006B4A30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r 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3)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3377466" w14:textId="6C60BA42" w:rsidR="005659E5" w:rsidRDefault="005659E5">
      <w:pPr>
        <w:rPr>
          <w:rFonts w:ascii="Calibri" w:hAnsi="Calibri" w:cs="Calibri"/>
          <w:sz w:val="28"/>
          <w:szCs w:val="28"/>
        </w:rPr>
      </w:pPr>
    </w:p>
    <w:p w14:paraId="2711C8D8" w14:textId="69E9BBE0" w:rsidR="005659E5" w:rsidRPr="00F079CD" w:rsidRDefault="005659E5" w:rsidP="005659E5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8"/>
          <w:szCs w:val="28"/>
        </w:rPr>
      </w:pPr>
      <w:proofErr w:type="spellStart"/>
      <w:r w:rsidRPr="00F079CD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iPOM</w:t>
      </w:r>
      <w:proofErr w:type="spellEnd"/>
      <w:r w:rsidRPr="00F079CD"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 xml:space="preserve"> Requirements </w:t>
      </w:r>
      <w:r w:rsidRPr="00F079CD"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98C3273" w14:textId="77777777" w:rsidR="005659E5" w:rsidRDefault="005659E5" w:rsidP="005659E5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02047C" w14:textId="77777777" w:rsidR="00F3180A" w:rsidRDefault="005659E5" w:rsidP="00F3180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D6368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Provide an estimate of the number of children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who will be served in 2026. If there was a change in participation from the previous year (i.e. Summer 2025), provide a justification [</w:t>
      </w:r>
      <w:hyperlink r:id="rId11" w:anchor="p-292.8(e)(2)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7 CFR 292.8(e)(2)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]: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sdt>
      <w:sdtPr>
        <w:rPr>
          <w:rStyle w:val="eop"/>
          <w:rFonts w:ascii="Calibri" w:eastAsiaTheme="majorEastAsia" w:hAnsi="Calibri" w:cs="Calibri"/>
          <w:sz w:val="22"/>
          <w:szCs w:val="22"/>
        </w:rPr>
        <w:id w:val="-1628466460"/>
        <w:placeholder>
          <w:docPart w:val="DefaultPlaceholder_-1854013440"/>
        </w:placeholder>
        <w:showingPlcHdr/>
      </w:sdtPr>
      <w:sdtEndPr>
        <w:rPr>
          <w:rStyle w:val="eop"/>
        </w:rPr>
      </w:sdtEndPr>
      <w:sdtContent>
        <w:p w14:paraId="173DBBE8" w14:textId="399175DD" w:rsidR="00F3180A" w:rsidRDefault="002A35E9" w:rsidP="002A35E9">
          <w:pPr>
            <w:pStyle w:val="paragraph"/>
            <w:spacing w:before="240" w:beforeAutospacing="0" w:after="240" w:afterAutospacing="0"/>
            <w:ind w:left="990"/>
            <w:textAlignment w:val="baseline"/>
            <w:rPr>
              <w:rStyle w:val="eop"/>
              <w:rFonts w:ascii="Calibri" w:eastAsiaTheme="majorEastAsia" w:hAnsi="Calibri" w:cs="Calibri"/>
              <w:sz w:val="22"/>
              <w:szCs w:val="22"/>
            </w:rPr>
          </w:pPr>
          <w:r w:rsidRPr="002A35E9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2863F5B0" w14:textId="7669545E" w:rsidR="005659E5" w:rsidRDefault="47667D67" w:rsidP="0C21121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C21121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Attach FNS-366A</w:t>
      </w: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expenditure plans(s) that reflect planned Fiscal Year 2026 administrative cost requirements for each Summer EBT agency within the </w:t>
      </w:r>
      <w:r w:rsidR="09D9BB98" w:rsidRPr="0C21121C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C7B1A63"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tate, </w:t>
      </w:r>
      <w:r w:rsidR="2A628B74"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ITO, or </w:t>
      </w:r>
      <w:r w:rsidR="2E51DB14" w:rsidRPr="0C21121C">
        <w:rPr>
          <w:rStyle w:val="normaltextrun"/>
          <w:rFonts w:ascii="Calibri" w:eastAsiaTheme="majorEastAsia" w:hAnsi="Calibri" w:cs="Calibri"/>
          <w:sz w:val="22"/>
          <w:szCs w:val="22"/>
        </w:rPr>
        <w:t>Puerto Rico</w:t>
      </w:r>
      <w:r w:rsidR="2A628B74" w:rsidRPr="0C21121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>that will draw Summer EBT administrative funds from FNS</w:t>
      </w:r>
      <w:r w:rsidRPr="0C21121C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[</w:t>
      </w:r>
      <w:hyperlink r:id="rId12" w:anchor="p-292.8(e)(3)">
        <w:r w:rsidRPr="0C21121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7 CFR 292.8(e)(3)</w:t>
        </w:r>
      </w:hyperlink>
      <w:r w:rsidRPr="0C21121C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]</w:t>
      </w: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>. See instructions included with the FNS-366A and Attachment A of policy memo</w:t>
      </w:r>
      <w:r w:rsidRPr="0C21121C">
        <w:rPr>
          <w:rStyle w:val="normaltextrun"/>
          <w:rFonts w:ascii="Calibri" w:eastAsiaTheme="majorEastAsia" w:hAnsi="Calibri" w:cs="Calibri"/>
          <w:color w:val="C0504D"/>
          <w:sz w:val="22"/>
          <w:szCs w:val="22"/>
        </w:rPr>
        <w:t xml:space="preserve"> </w:t>
      </w:r>
      <w:hyperlink r:id="rId13">
        <w:r w:rsidRPr="0C21121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SEBT 01-2024, FM 01-2024</w:t>
        </w:r>
        <w:r w:rsidRPr="0C21121C">
          <w:rPr>
            <w:rStyle w:val="normaltextrun"/>
            <w:rFonts w:ascii="Calibri" w:eastAsiaTheme="majorEastAsia" w:hAnsi="Calibri" w:cs="Calibri"/>
            <w:i/>
            <w:iCs/>
            <w:color w:val="0563C1"/>
            <w:sz w:val="22"/>
            <w:szCs w:val="22"/>
            <w:u w:val="single"/>
          </w:rPr>
          <w:t xml:space="preserve"> Summer EBT Administrative Funding Process for FY2024, </w:t>
        </w:r>
        <w:r w:rsidRPr="0C21121C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October 18, 2023</w:t>
        </w:r>
      </w:hyperlink>
      <w:r w:rsidRPr="0C21121C">
        <w:rPr>
          <w:rStyle w:val="normaltextrun"/>
          <w:rFonts w:ascii="Calibri" w:eastAsiaTheme="majorEastAsia" w:hAnsi="Calibri" w:cs="Calibri"/>
          <w:i/>
          <w:iCs/>
          <w:color w:val="C0504D"/>
          <w:sz w:val="22"/>
          <w:szCs w:val="22"/>
        </w:rPr>
        <w:t xml:space="preserve"> </w:t>
      </w:r>
      <w:r w:rsidRPr="0C21121C">
        <w:rPr>
          <w:rStyle w:val="normaltextrun"/>
          <w:rFonts w:ascii="Calibri" w:eastAsiaTheme="majorEastAsia" w:hAnsi="Calibri" w:cs="Calibri"/>
          <w:sz w:val="22"/>
          <w:szCs w:val="22"/>
        </w:rPr>
        <w:t>for further information about the FNS-366A.</w:t>
      </w:r>
      <w:r w:rsidRPr="0C21121C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035D24" w14:textId="5A50CDF6" w:rsidR="00AF4295" w:rsidRDefault="005659E5" w:rsidP="6C17156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6C17156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B47BE0D" w14:textId="2633116C" w:rsidR="005659E5" w:rsidRPr="005659E5" w:rsidRDefault="005659E5" w:rsidP="6C171562">
      <w:pPr>
        <w:pStyle w:val="paragraph"/>
        <w:numPr>
          <w:ilvl w:val="0"/>
          <w:numId w:val="8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6C17156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Attach a budget narrative</w:t>
      </w:r>
      <w:r w:rsidRPr="6C17156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that corresponds with the FNS-366A(s), describes how costs within the budget categories were derived, and demonstrates links between expenditures and specific activities/tasks. </w:t>
      </w:r>
      <w:r w:rsidR="44CD917D" w:rsidRPr="6C171562">
        <w:rPr>
          <w:rStyle w:val="normaltextrun"/>
          <w:rFonts w:ascii="Calibri" w:eastAsiaTheme="majorEastAsia" w:hAnsi="Calibri" w:cs="Calibri"/>
          <w:sz w:val="22"/>
          <w:szCs w:val="22"/>
        </w:rPr>
        <w:t>The budget narrative will include the administrative needs of all Summer EBT agencies and any local educational agencies that have a contract with the Summer EBT agency</w:t>
      </w:r>
      <w:r w:rsidR="00893180" w:rsidRPr="6C17156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Pr="6C17156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[</w:t>
      </w:r>
      <w:hyperlink r:id="rId14" w:anchor="p-292.8(e)(3)">
        <w:r w:rsidRPr="6C171562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7 CFR 292.8(e)(3)</w:t>
        </w:r>
      </w:hyperlink>
      <w:r w:rsidRPr="6C171562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]</w:t>
      </w:r>
      <w:r w:rsidRPr="6C171562">
        <w:rPr>
          <w:rStyle w:val="normaltextrun"/>
          <w:rFonts w:ascii="Calibri" w:eastAsiaTheme="majorEastAsia" w:hAnsi="Calibri" w:cs="Calibri"/>
          <w:sz w:val="22"/>
          <w:szCs w:val="22"/>
        </w:rPr>
        <w:t>. See Summer EBT</w:t>
      </w:r>
      <w:r w:rsidR="0076349A">
        <w:t xml:space="preserve"> </w:t>
      </w:r>
      <w:hyperlink r:id="rId15">
        <w:r w:rsidR="0076349A" w:rsidRPr="6C171562">
          <w:rPr>
            <w:rStyle w:val="Hyperlink"/>
            <w:rFonts w:ascii="Calibri" w:eastAsiaTheme="majorEastAsia" w:hAnsi="Calibri" w:cs="Calibri"/>
            <w:sz w:val="22"/>
            <w:szCs w:val="22"/>
          </w:rPr>
          <w:t>budget narrative template</w:t>
        </w:r>
      </w:hyperlink>
      <w:r w:rsidRPr="6C171562">
        <w:rPr>
          <w:rStyle w:val="normaltextrun"/>
          <w:rFonts w:ascii="Calibri" w:eastAsiaTheme="majorEastAsia" w:hAnsi="Calibri" w:cs="Calibri"/>
          <w:color w:val="0070C0"/>
          <w:sz w:val="22"/>
          <w:szCs w:val="22"/>
        </w:rPr>
        <w:t> </w:t>
      </w:r>
      <w:r w:rsidRPr="6C171562">
        <w:rPr>
          <w:rStyle w:val="normaltextrun"/>
          <w:rFonts w:ascii="Calibri" w:eastAsiaTheme="majorEastAsia" w:hAnsi="Calibri" w:cs="Calibri"/>
          <w:sz w:val="22"/>
          <w:szCs w:val="22"/>
        </w:rPr>
        <w:t>and</w:t>
      </w:r>
      <w:r w:rsidR="006C2864" w:rsidRPr="6C171562">
        <w:rPr>
          <w:color w:val="0070C0"/>
        </w:rPr>
        <w:t xml:space="preserve"> </w:t>
      </w:r>
      <w:hyperlink r:id="rId16">
        <w:r w:rsidR="006C2864" w:rsidRPr="6C171562">
          <w:rPr>
            <w:rStyle w:val="Hyperlink"/>
            <w:rFonts w:ascii="Calibri" w:eastAsiaTheme="majorEastAsia" w:hAnsi="Calibri" w:cs="Calibri"/>
            <w:color w:val="0070C0"/>
            <w:sz w:val="22"/>
            <w:szCs w:val="22"/>
          </w:rPr>
          <w:t>budget checklist</w:t>
        </w:r>
      </w:hyperlink>
      <w:r w:rsidR="00F606D2" w:rsidRPr="6C171562">
        <w:rPr>
          <w:rFonts w:ascii="Calibri" w:hAnsi="Calibri" w:cs="Calibri"/>
          <w:sz w:val="22"/>
          <w:szCs w:val="22"/>
        </w:rPr>
        <w:t>.</w:t>
      </w:r>
      <w:r w:rsidRPr="6C171562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Pr="6C171562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sectPr w:rsidR="005659E5" w:rsidRPr="005659E5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D5C4" w14:textId="77777777" w:rsidR="0085583C" w:rsidRDefault="0085583C" w:rsidP="00503A0F">
      <w:pPr>
        <w:spacing w:after="0" w:line="240" w:lineRule="auto"/>
      </w:pPr>
      <w:r>
        <w:separator/>
      </w:r>
    </w:p>
  </w:endnote>
  <w:endnote w:type="continuationSeparator" w:id="0">
    <w:p w14:paraId="5A798BCF" w14:textId="77777777" w:rsidR="0085583C" w:rsidRDefault="0085583C" w:rsidP="0050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EB39" w14:textId="0D82AC40" w:rsidR="00503A0F" w:rsidRDefault="00503A0F" w:rsidP="00503A0F">
    <w:pPr>
      <w:pStyle w:val="Footer"/>
      <w:jc w:val="center"/>
    </w:pPr>
    <w:r w:rsidRPr="00503A0F">
      <w:t>Guidance documents lack the force and effect of law, unless expressly authorized </w:t>
    </w:r>
    <w:r w:rsidRPr="00503A0F">
      <w:br/>
      <w:t>by statute or incorporated into a contract. USDA may not cite, use, or rely on any guidance </w:t>
    </w:r>
    <w:r w:rsidRPr="00503A0F">
      <w:br/>
      <w:t>that is not available through their guidance portal, except to establish historical facts.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383A" w14:textId="77777777" w:rsidR="0085583C" w:rsidRDefault="0085583C" w:rsidP="00503A0F">
      <w:pPr>
        <w:spacing w:after="0" w:line="240" w:lineRule="auto"/>
      </w:pPr>
      <w:r>
        <w:separator/>
      </w:r>
    </w:p>
  </w:footnote>
  <w:footnote w:type="continuationSeparator" w:id="0">
    <w:p w14:paraId="1702686D" w14:textId="77777777" w:rsidR="0085583C" w:rsidRDefault="0085583C" w:rsidP="0050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C7F"/>
    <w:multiLevelType w:val="multilevel"/>
    <w:tmpl w:val="7AE05EEC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hint="default"/>
      </w:rPr>
    </w:lvl>
  </w:abstractNum>
  <w:abstractNum w:abstractNumId="1" w15:restartNumberingAfterBreak="0">
    <w:nsid w:val="115F1BA5"/>
    <w:multiLevelType w:val="multilevel"/>
    <w:tmpl w:val="22DA8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AE35AE"/>
    <w:multiLevelType w:val="hybridMultilevel"/>
    <w:tmpl w:val="1722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827EF"/>
    <w:multiLevelType w:val="multilevel"/>
    <w:tmpl w:val="58C0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0D26AF"/>
    <w:multiLevelType w:val="multilevel"/>
    <w:tmpl w:val="7034E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71635"/>
    <w:multiLevelType w:val="multilevel"/>
    <w:tmpl w:val="4DD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B94992"/>
    <w:multiLevelType w:val="multilevel"/>
    <w:tmpl w:val="61E63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543FA"/>
    <w:multiLevelType w:val="hybridMultilevel"/>
    <w:tmpl w:val="0A70B704"/>
    <w:lvl w:ilvl="0" w:tplc="AA24972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7689B"/>
    <w:multiLevelType w:val="multilevel"/>
    <w:tmpl w:val="9C88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770716">
    <w:abstractNumId w:val="3"/>
  </w:num>
  <w:num w:numId="2" w16cid:durableId="530997564">
    <w:abstractNumId w:val="8"/>
  </w:num>
  <w:num w:numId="3" w16cid:durableId="1202985171">
    <w:abstractNumId w:val="2"/>
  </w:num>
  <w:num w:numId="4" w16cid:durableId="2088188262">
    <w:abstractNumId w:val="5"/>
  </w:num>
  <w:num w:numId="5" w16cid:durableId="1589117149">
    <w:abstractNumId w:val="6"/>
  </w:num>
  <w:num w:numId="6" w16cid:durableId="1076516479">
    <w:abstractNumId w:val="4"/>
  </w:num>
  <w:num w:numId="7" w16cid:durableId="1919821884">
    <w:abstractNumId w:val="0"/>
  </w:num>
  <w:num w:numId="8" w16cid:durableId="1323002925">
    <w:abstractNumId w:val="7"/>
  </w:num>
  <w:num w:numId="9" w16cid:durableId="1867596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4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E5"/>
    <w:rsid w:val="00030AC8"/>
    <w:rsid w:val="00043DD6"/>
    <w:rsid w:val="000876CA"/>
    <w:rsid w:val="000D1BE0"/>
    <w:rsid w:val="000F0F46"/>
    <w:rsid w:val="00102794"/>
    <w:rsid w:val="001029D8"/>
    <w:rsid w:val="001317EA"/>
    <w:rsid w:val="00144749"/>
    <w:rsid w:val="00146F85"/>
    <w:rsid w:val="001A1015"/>
    <w:rsid w:val="001E57D9"/>
    <w:rsid w:val="001F25B3"/>
    <w:rsid w:val="00242070"/>
    <w:rsid w:val="002A35E9"/>
    <w:rsid w:val="002B36C9"/>
    <w:rsid w:val="002B74A7"/>
    <w:rsid w:val="002C442A"/>
    <w:rsid w:val="003A318B"/>
    <w:rsid w:val="003C55F9"/>
    <w:rsid w:val="003D42BC"/>
    <w:rsid w:val="003D5BFB"/>
    <w:rsid w:val="003F0F5C"/>
    <w:rsid w:val="004D0D55"/>
    <w:rsid w:val="004D0DD6"/>
    <w:rsid w:val="00503A0F"/>
    <w:rsid w:val="00557E4B"/>
    <w:rsid w:val="005659E5"/>
    <w:rsid w:val="00574374"/>
    <w:rsid w:val="00582AEC"/>
    <w:rsid w:val="005923D9"/>
    <w:rsid w:val="005A34A5"/>
    <w:rsid w:val="005B3FAD"/>
    <w:rsid w:val="00613728"/>
    <w:rsid w:val="00680A58"/>
    <w:rsid w:val="006B4A30"/>
    <w:rsid w:val="006C2864"/>
    <w:rsid w:val="006E66FD"/>
    <w:rsid w:val="006F3EB3"/>
    <w:rsid w:val="007029B0"/>
    <w:rsid w:val="0076349A"/>
    <w:rsid w:val="007661D6"/>
    <w:rsid w:val="00782A23"/>
    <w:rsid w:val="007C4806"/>
    <w:rsid w:val="007C7559"/>
    <w:rsid w:val="007E690C"/>
    <w:rsid w:val="0080578D"/>
    <w:rsid w:val="008071D0"/>
    <w:rsid w:val="00837B0F"/>
    <w:rsid w:val="0085583C"/>
    <w:rsid w:val="00862BF8"/>
    <w:rsid w:val="00893180"/>
    <w:rsid w:val="008A499F"/>
    <w:rsid w:val="008E20F5"/>
    <w:rsid w:val="00907F7C"/>
    <w:rsid w:val="00924186"/>
    <w:rsid w:val="0097118F"/>
    <w:rsid w:val="009C1BEA"/>
    <w:rsid w:val="00A14181"/>
    <w:rsid w:val="00A20079"/>
    <w:rsid w:val="00A46119"/>
    <w:rsid w:val="00A46716"/>
    <w:rsid w:val="00A479AD"/>
    <w:rsid w:val="00A96A86"/>
    <w:rsid w:val="00AC7C61"/>
    <w:rsid w:val="00AF4295"/>
    <w:rsid w:val="00B1393C"/>
    <w:rsid w:val="00B35D4D"/>
    <w:rsid w:val="00B42EB7"/>
    <w:rsid w:val="00B526D4"/>
    <w:rsid w:val="00B82253"/>
    <w:rsid w:val="00B94744"/>
    <w:rsid w:val="00BA3883"/>
    <w:rsid w:val="00BC7F5C"/>
    <w:rsid w:val="00BD4A77"/>
    <w:rsid w:val="00BD6368"/>
    <w:rsid w:val="00BD7ECC"/>
    <w:rsid w:val="00BF72F6"/>
    <w:rsid w:val="00C30B99"/>
    <w:rsid w:val="00C66303"/>
    <w:rsid w:val="00C73C70"/>
    <w:rsid w:val="00C74B2B"/>
    <w:rsid w:val="00C83FAD"/>
    <w:rsid w:val="00C85872"/>
    <w:rsid w:val="00CE075C"/>
    <w:rsid w:val="00CE30CE"/>
    <w:rsid w:val="00CF4B03"/>
    <w:rsid w:val="00CF70FA"/>
    <w:rsid w:val="00D03A39"/>
    <w:rsid w:val="00D50363"/>
    <w:rsid w:val="00D651F0"/>
    <w:rsid w:val="00DB61E9"/>
    <w:rsid w:val="00DB79FC"/>
    <w:rsid w:val="00DC7519"/>
    <w:rsid w:val="00E412A3"/>
    <w:rsid w:val="00E46912"/>
    <w:rsid w:val="00F079CD"/>
    <w:rsid w:val="00F13998"/>
    <w:rsid w:val="00F16FD2"/>
    <w:rsid w:val="00F3180A"/>
    <w:rsid w:val="00F52B8D"/>
    <w:rsid w:val="00F5435D"/>
    <w:rsid w:val="00F606D2"/>
    <w:rsid w:val="00FA016E"/>
    <w:rsid w:val="00FE5777"/>
    <w:rsid w:val="01BFBFB9"/>
    <w:rsid w:val="03D3B387"/>
    <w:rsid w:val="0919FA7A"/>
    <w:rsid w:val="09D9BB98"/>
    <w:rsid w:val="0C051DE5"/>
    <w:rsid w:val="0C11E3FC"/>
    <w:rsid w:val="0C21121C"/>
    <w:rsid w:val="0C7B1A63"/>
    <w:rsid w:val="0CF518BA"/>
    <w:rsid w:val="0E5AF116"/>
    <w:rsid w:val="11C62A2E"/>
    <w:rsid w:val="1424E02F"/>
    <w:rsid w:val="1A800874"/>
    <w:rsid w:val="1C336D76"/>
    <w:rsid w:val="208C5CD1"/>
    <w:rsid w:val="2884B308"/>
    <w:rsid w:val="2A628B74"/>
    <w:rsid w:val="2E51DB14"/>
    <w:rsid w:val="34E557B1"/>
    <w:rsid w:val="394B2C6C"/>
    <w:rsid w:val="3BF13645"/>
    <w:rsid w:val="44CD917D"/>
    <w:rsid w:val="45CE2B9E"/>
    <w:rsid w:val="47667D67"/>
    <w:rsid w:val="4A3C42F0"/>
    <w:rsid w:val="4A990C69"/>
    <w:rsid w:val="4E0747BD"/>
    <w:rsid w:val="4EB5A026"/>
    <w:rsid w:val="512AB07A"/>
    <w:rsid w:val="54D8518C"/>
    <w:rsid w:val="5B9B08A3"/>
    <w:rsid w:val="6B424AE3"/>
    <w:rsid w:val="6C171562"/>
    <w:rsid w:val="7A768D1A"/>
    <w:rsid w:val="7D8883F6"/>
    <w:rsid w:val="7F31E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BE64"/>
  <w15:chartTrackingRefBased/>
  <w15:docId w15:val="{20B94BAB-4068-4532-95A6-3DB84240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9E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659E5"/>
  </w:style>
  <w:style w:type="character" w:customStyle="1" w:styleId="eop">
    <w:name w:val="eop"/>
    <w:basedOn w:val="DefaultParagraphFont"/>
    <w:rsid w:val="005659E5"/>
  </w:style>
  <w:style w:type="paragraph" w:customStyle="1" w:styleId="paragraph">
    <w:name w:val="paragraph"/>
    <w:basedOn w:val="Normal"/>
    <w:rsid w:val="0056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ntentcontrolboundarysink">
    <w:name w:val="contentcontrolboundarysink"/>
    <w:basedOn w:val="DefaultParagraphFont"/>
    <w:rsid w:val="005659E5"/>
  </w:style>
  <w:style w:type="paragraph" w:styleId="Revision">
    <w:name w:val="Revision"/>
    <w:hidden/>
    <w:uiPriority w:val="99"/>
    <w:semiHidden/>
    <w:rsid w:val="005659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5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D4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28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8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35E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03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0F"/>
  </w:style>
  <w:style w:type="paragraph" w:styleId="Footer">
    <w:name w:val="footer"/>
    <w:basedOn w:val="Normal"/>
    <w:link w:val="FooterChar"/>
    <w:uiPriority w:val="99"/>
    <w:unhideWhenUsed/>
    <w:rsid w:val="00503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ns.usda.gov/sebt/administrative-funding-process-fy2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fr.gov/current/title-7/part-292/subpart-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fns-prod.azureedge.us/sites/default/files/resource-files/sebt-2025-budget-narrative-checklist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cfr.gov/current/title-7/part-292/section-292.8" TargetMode="External"/><Relationship Id="rId5" Type="http://schemas.openxmlformats.org/officeDocument/2006/relationships/styles" Target="styles.xml"/><Relationship Id="rId15" Type="http://schemas.openxmlformats.org/officeDocument/2006/relationships/hyperlink" Target="https://view.officeapps.live.com/op/view.aspx?src=https%3A%2F%2Ffns-prod.azureedge.us%2Fsites%2Fdefault%2Ffiles%2Fresource-files%2Fsebt-2025-budget-narrative-template.xlsx&amp;wdOrigin=BROWSELINK" TargetMode="External"/><Relationship Id="rId10" Type="http://schemas.openxmlformats.org/officeDocument/2006/relationships/hyperlink" Target="https://www.ecfr.gov/current/title-7/part-292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cfr.gov/current/title-7/part-292/subpart-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77DF3-35CF-4ADE-98A4-91FD957324F4}"/>
      </w:docPartPr>
      <w:docPartBody>
        <w:p w:rsidR="001A6EA0" w:rsidRDefault="001A6EA0">
          <w:r w:rsidRPr="00783D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0"/>
    <w:rsid w:val="00063783"/>
    <w:rsid w:val="00144749"/>
    <w:rsid w:val="001A6EA0"/>
    <w:rsid w:val="001E57D9"/>
    <w:rsid w:val="001F25B3"/>
    <w:rsid w:val="003D5BFB"/>
    <w:rsid w:val="004E5EC6"/>
    <w:rsid w:val="005923D9"/>
    <w:rsid w:val="00613728"/>
    <w:rsid w:val="00837B0F"/>
    <w:rsid w:val="00A21335"/>
    <w:rsid w:val="00AB03D0"/>
    <w:rsid w:val="00B438FA"/>
    <w:rsid w:val="00B526D4"/>
    <w:rsid w:val="00BC6693"/>
    <w:rsid w:val="00BC7F5C"/>
    <w:rsid w:val="00C83FAD"/>
    <w:rsid w:val="00D86D0F"/>
    <w:rsid w:val="00F3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6EA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52FF6CDDC844DAB411A12ABF42FCD" ma:contentTypeVersion="14" ma:contentTypeDescription="Create a new document." ma:contentTypeScope="" ma:versionID="e7aecde931161f402c1ac72bbf794495">
  <xsd:schema xmlns:xsd="http://www.w3.org/2001/XMLSchema" xmlns:xs="http://www.w3.org/2001/XMLSchema" xmlns:p="http://schemas.microsoft.com/office/2006/metadata/properties" xmlns:ns2="e56fc20f-ea8e-49a6-9183-2d7eeb3f6051" xmlns:ns3="872809b2-d867-45ce-8652-626d36d0399c" targetNamespace="http://schemas.microsoft.com/office/2006/metadata/properties" ma:root="true" ma:fieldsID="e7a51471277dbf629aec7328c5150346" ns2:_="" ns3:_="">
    <xsd:import namespace="e56fc20f-ea8e-49a6-9183-2d7eeb3f6051"/>
    <xsd:import namespace="872809b2-d867-45ce-8652-626d36d03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fc20f-ea8e-49a6-9183-2d7eeb3f6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809b2-d867-45ce-8652-626d36d03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6fc20f-ea8e-49a6-9183-2d7eeb3f60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CCE44-A532-497D-BD41-172D94F48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fc20f-ea8e-49a6-9183-2d7eeb3f6051"/>
    <ds:schemaRef ds:uri="872809b2-d867-45ce-8652-626d36d03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FA74C-3FFE-4FD8-952F-7AD0BDB7A68E}">
  <ds:schemaRefs>
    <ds:schemaRef ds:uri="http://schemas.microsoft.com/office/2006/metadata/properties"/>
    <ds:schemaRef ds:uri="http://schemas.microsoft.com/office/infopath/2007/PartnerControls"/>
    <ds:schemaRef ds:uri="e56fc20f-ea8e-49a6-9183-2d7eeb3f6051"/>
  </ds:schemaRefs>
</ds:datastoreItem>
</file>

<file path=customXml/itemProps3.xml><?xml version="1.0" encoding="utf-8"?>
<ds:datastoreItem xmlns:ds="http://schemas.openxmlformats.org/officeDocument/2006/customXml" ds:itemID="{C34A2F19-F0F5-4565-92A6-EBEC251530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1897</Characters>
  <Application>Microsoft Office Word</Application>
  <DocSecurity>0</DocSecurity>
  <Lines>37</Lines>
  <Paragraphs>14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Bustelo Ortiz, Michelle</dc:creator>
  <cp:keywords/>
  <dc:description/>
  <cp:lastModifiedBy>Del Rosario, Katie - FNS</cp:lastModifiedBy>
  <cp:revision>2</cp:revision>
  <dcterms:created xsi:type="dcterms:W3CDTF">2026-01-30T13:39:00Z</dcterms:created>
  <dcterms:modified xsi:type="dcterms:W3CDTF">2026-01-30T13:39:00Z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0x0101003D352FF6CDDC844DAB411A12ABF42FCD</vt:lpwstr>
  </property>
  <property fmtid="{D5CDD505-2E9C-101B-9397-08002B2CF9AE}" pid="3" name="MediaServiceImageTags">
    <vt:lpwstr/>
  </property>
</Properties>
</file>